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088"/>
        <w:gridCol w:w="1276"/>
        <w:gridCol w:w="2126"/>
        <w:gridCol w:w="1843"/>
      </w:tblGrid>
      <w:tr w:rsidR="00C04F94" w:rsidRPr="00C04F94" w:rsidTr="00C04F94">
        <w:trPr>
          <w:trHeight w:val="292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center"/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Référence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center"/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Intitulé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édition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center"/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Date de publication</w:t>
            </w:r>
          </w:p>
        </w:tc>
        <w:tc>
          <w:tcPr>
            <w:tcW w:w="1843" w:type="dxa"/>
          </w:tcPr>
          <w:p w:rsidR="00C04F94" w:rsidRPr="00C04F94" w:rsidRDefault="00C04F94" w:rsidP="00C04F94">
            <w:pPr>
              <w:jc w:val="center"/>
              <w:rPr>
                <w:b/>
                <w:bCs/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Traduction</w:t>
            </w:r>
          </w:p>
        </w:tc>
      </w:tr>
      <w:tr w:rsidR="00C04F94" w:rsidRPr="00C04F94" w:rsidTr="00C04F94">
        <w:trPr>
          <w:trHeight w:val="269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 xml:space="preserve">001 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Couleurs de la Défense Nationale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 3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Juillet 2018</w:t>
            </w:r>
          </w:p>
        </w:tc>
        <w:tc>
          <w:tcPr>
            <w:tcW w:w="1843" w:type="dxa"/>
          </w:tcPr>
          <w:p w:rsidR="00C04F94" w:rsidRPr="00C04F94" w:rsidRDefault="00B2729F" w:rsidP="00B272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  <w:bookmarkStart w:id="0" w:name="_GoBack"/>
            <w:bookmarkEnd w:id="0"/>
          </w:p>
        </w:tc>
      </w:tr>
      <w:tr w:rsidR="00C04F94" w:rsidRPr="00C04F94" w:rsidTr="00C04F94">
        <w:trPr>
          <w:trHeight w:val="2487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>002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002-1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002-2.1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 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002-2.2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002-3</w:t>
            </w:r>
          </w:p>
          <w:p w:rsidR="00C04F94" w:rsidRPr="00C04F94" w:rsidRDefault="00C04F94" w:rsidP="00B36673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002-4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Système de peinture pour navires militaires</w:t>
            </w:r>
          </w:p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 Exigences générales en construction neuve</w:t>
            </w:r>
          </w:p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Exigences de performance pour les systèmes de peinture destinés à la protection des surfaces extérieures en construction neuve</w:t>
            </w:r>
          </w:p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Exigences de performance pour les systèmes de peinture destinés à la protection des surfaces intérieures en construction neuve</w:t>
            </w:r>
          </w:p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Exigences et qualification des systèmes de peinture pour la maintenance</w:t>
            </w:r>
          </w:p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Acceptation des travaux de peinture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 xml:space="preserve">ED 2 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1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Octobre 2014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Octobre 2014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Octobre 2014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Octobre 2014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Octobre 2008</w:t>
            </w:r>
          </w:p>
        </w:tc>
        <w:tc>
          <w:tcPr>
            <w:tcW w:w="1843" w:type="dxa"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F86750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C04F94" w:rsidRPr="00C04F94" w:rsidRDefault="00F86750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C04F94" w:rsidRPr="00C04F94" w:rsidRDefault="00C04F94" w:rsidP="00C04F94">
            <w:pPr>
              <w:jc w:val="center"/>
              <w:rPr>
                <w:sz w:val="20"/>
                <w:szCs w:val="16"/>
              </w:rPr>
            </w:pPr>
          </w:p>
          <w:p w:rsidR="00A300B1" w:rsidRPr="00C04F94" w:rsidRDefault="00A300B1" w:rsidP="00A300B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C04F94" w:rsidRPr="00C04F94" w:rsidRDefault="00F86750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C04F94" w:rsidRPr="00C04F94" w:rsidRDefault="00F86750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</w:tc>
      </w:tr>
      <w:tr w:rsidR="00C04F94" w:rsidRPr="00C04F94" w:rsidTr="00C04F94">
        <w:trPr>
          <w:trHeight w:val="1307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>003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003-1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003-2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b/>
                <w:bCs/>
                <w:sz w:val="20"/>
                <w:szCs w:val="16"/>
              </w:rPr>
              <w:t>003-3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Systèmes de peinture destinés à la protection des matériels terrestres d’armement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 Spécification technique de performances</w:t>
            </w:r>
          </w:p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Recueil des fiches d’essais</w:t>
            </w:r>
          </w:p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Conditions générales relatives à la maîtrise de la mise en œuvre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Décembre 2012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Décembre 2012</w:t>
            </w:r>
          </w:p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Novembre 2013</w:t>
            </w:r>
          </w:p>
        </w:tc>
        <w:tc>
          <w:tcPr>
            <w:tcW w:w="1843" w:type="dxa"/>
          </w:tcPr>
          <w:p w:rsidR="00C04F94" w:rsidRDefault="00C04F94" w:rsidP="00B36673">
            <w:pPr>
              <w:jc w:val="center"/>
              <w:rPr>
                <w:sz w:val="20"/>
                <w:szCs w:val="16"/>
              </w:rPr>
            </w:pPr>
          </w:p>
          <w:p w:rsidR="00C04F94" w:rsidRDefault="00F86750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C04F94" w:rsidRPr="00C04F94" w:rsidRDefault="00F86750" w:rsidP="00C04F9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A300B1" w:rsidRPr="00C04F94" w:rsidRDefault="00A300B1" w:rsidP="00A300B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  <w:p w:rsidR="00C04F94" w:rsidRPr="00C04F94" w:rsidRDefault="00C04F94" w:rsidP="00C04F94">
            <w:pPr>
              <w:jc w:val="center"/>
              <w:rPr>
                <w:sz w:val="20"/>
                <w:szCs w:val="16"/>
              </w:rPr>
            </w:pPr>
          </w:p>
        </w:tc>
      </w:tr>
      <w:tr w:rsidR="00C04F94" w:rsidRPr="00C04F94" w:rsidTr="00C04F94">
        <w:trPr>
          <w:trHeight w:val="310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>004-1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Systèmes de peinture destinés à la protection des cellules d’aéronefs militaires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1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Juillet 2014</w:t>
            </w:r>
          </w:p>
        </w:tc>
        <w:tc>
          <w:tcPr>
            <w:tcW w:w="1843" w:type="dxa"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</w:tc>
      </w:tr>
      <w:tr w:rsidR="00C04F94" w:rsidRPr="00C04F94" w:rsidTr="00C04F94">
        <w:trPr>
          <w:trHeight w:val="274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>201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Niveaux d’emballage des matériels de défense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2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Juin 2015</w:t>
            </w:r>
          </w:p>
        </w:tc>
        <w:tc>
          <w:tcPr>
            <w:tcW w:w="1843" w:type="dxa"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</w:p>
        </w:tc>
      </w:tr>
      <w:tr w:rsidR="00C04F94" w:rsidRPr="00C04F94" w:rsidTr="00C04F94">
        <w:trPr>
          <w:trHeight w:val="804"/>
        </w:trPr>
        <w:tc>
          <w:tcPr>
            <w:tcW w:w="169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>301-1</w:t>
            </w:r>
          </w:p>
        </w:tc>
        <w:tc>
          <w:tcPr>
            <w:tcW w:w="7088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Evaluation et emploi des systèmes d'armes et munitions équipés de dispositifs électro-pyrotechniques soumis aux effets des rayonnements électromagnétiques non-ionisants. Partie n°1 : Exigences relatives à l'évaluation des dispositifs électro-pyrotechniques et de leur intégration dans les systèmes d'armes et munitions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ind w:left="1394" w:hanging="139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 1</w:t>
            </w:r>
          </w:p>
        </w:tc>
        <w:tc>
          <w:tcPr>
            <w:tcW w:w="2126" w:type="dxa"/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Avril 2017</w:t>
            </w:r>
          </w:p>
        </w:tc>
        <w:tc>
          <w:tcPr>
            <w:tcW w:w="1843" w:type="dxa"/>
          </w:tcPr>
          <w:p w:rsidR="00C04F94" w:rsidRPr="00C04F94" w:rsidRDefault="00F86750" w:rsidP="00B3667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</w:tc>
      </w:tr>
      <w:tr w:rsidR="00C04F94" w:rsidRPr="00C04F94" w:rsidTr="00C04F94">
        <w:trPr>
          <w:trHeight w:val="11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DC052D" w:rsidP="00D06620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NORMDEF </w:t>
            </w:r>
            <w:r w:rsidR="00C04F94" w:rsidRPr="00C04F94">
              <w:rPr>
                <w:b/>
                <w:bCs/>
                <w:sz w:val="20"/>
                <w:szCs w:val="16"/>
              </w:rPr>
              <w:t>301-2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D06620">
            <w:pPr>
              <w:jc w:val="both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Evaluation et emploi des systèmes d'armes et munitions équipés de dispositifs électro-pyrotechniques soumis aux effets des rayonnements électromagnétiques non-ionisants. Partie n°2 : Elaboration de consignes de sécurité relatives aux différentes conditions d’emploi des systèmes d’armes et munitions équipés de dispositifs électro-pyrotechniques soumis aux effets des rayonnements électromagnétiques non ionisants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ind w:left="1394" w:hanging="1394"/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t>ED 1 publiée au RN</w:t>
            </w:r>
            <w:r w:rsidRPr="00C04F94">
              <w:rPr>
                <w:sz w:val="20"/>
                <w:szCs w:val="16"/>
              </w:rPr>
              <w:lastRenderedPageBreak/>
              <w:t>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C04F94" w:rsidRPr="00C04F94" w:rsidRDefault="00C04F94" w:rsidP="00B36673">
            <w:pPr>
              <w:jc w:val="center"/>
              <w:rPr>
                <w:sz w:val="20"/>
                <w:szCs w:val="16"/>
              </w:rPr>
            </w:pPr>
            <w:r w:rsidRPr="00C04F94">
              <w:rPr>
                <w:sz w:val="20"/>
                <w:szCs w:val="16"/>
              </w:rPr>
              <w:lastRenderedPageBreak/>
              <w:t>Septembre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94" w:rsidRPr="00C04F94" w:rsidRDefault="00F86750" w:rsidP="00B3667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English</w:t>
            </w:r>
          </w:p>
        </w:tc>
      </w:tr>
    </w:tbl>
    <w:p w:rsidR="00D06620" w:rsidRPr="00C04F94" w:rsidRDefault="00D06620" w:rsidP="00D06620">
      <w:pPr>
        <w:rPr>
          <w:sz w:val="28"/>
        </w:rPr>
      </w:pPr>
    </w:p>
    <w:sectPr w:rsidR="00D06620" w:rsidRPr="00C04F94" w:rsidSect="00C04F94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0"/>
    <w:rsid w:val="0089087C"/>
    <w:rsid w:val="008A7F4E"/>
    <w:rsid w:val="008C41A4"/>
    <w:rsid w:val="00A300B1"/>
    <w:rsid w:val="00B2729F"/>
    <w:rsid w:val="00B36673"/>
    <w:rsid w:val="00C04F94"/>
    <w:rsid w:val="00C45535"/>
    <w:rsid w:val="00D06620"/>
    <w:rsid w:val="00DC052D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3976"/>
  <w15:chartTrackingRefBased/>
  <w15:docId w15:val="{8CC95289-85EE-4C69-A315-B4823BF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NAHON Nicole ICT III B SUP</dc:creator>
  <cp:keywords/>
  <dc:description/>
  <cp:lastModifiedBy>FREYHEIT Charles ICA</cp:lastModifiedBy>
  <cp:revision>8</cp:revision>
  <dcterms:created xsi:type="dcterms:W3CDTF">2019-09-05T08:32:00Z</dcterms:created>
  <dcterms:modified xsi:type="dcterms:W3CDTF">2022-11-21T16:41:00Z</dcterms:modified>
</cp:coreProperties>
</file>